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5B" w:rsidRPr="0069185B" w:rsidRDefault="0069185B" w:rsidP="0069185B">
      <w:pPr>
        <w:widowControl/>
        <w:spacing w:line="720" w:lineRule="atLeast"/>
        <w:jc w:val="center"/>
        <w:outlineLvl w:val="0"/>
        <w:rPr>
          <w:rFonts w:ascii="微软雅黑" w:eastAsia="微软雅黑" w:hAnsi="微软雅黑" w:cs="宋体"/>
          <w:b/>
          <w:bCs/>
          <w:color w:val="000000" w:themeColor="text1"/>
          <w:kern w:val="36"/>
          <w:sz w:val="27"/>
          <w:szCs w:val="27"/>
        </w:rPr>
      </w:pPr>
      <w:bookmarkStart w:id="0" w:name="_GoBack"/>
      <w:r w:rsidRPr="0069185B">
        <w:rPr>
          <w:rFonts w:ascii="微软雅黑" w:eastAsia="微软雅黑" w:hAnsi="微软雅黑" w:cs="宋体" w:hint="eastAsia"/>
          <w:b/>
          <w:bCs/>
          <w:color w:val="000000" w:themeColor="text1"/>
          <w:kern w:val="36"/>
          <w:sz w:val="27"/>
          <w:szCs w:val="27"/>
        </w:rPr>
        <w:t>关于印发《陕西省省级机关事业单位职工基本医疗保险门诊特殊慢性病、特殊检查、特殊治疗管理暂行办法》的通知</w:t>
      </w:r>
      <w:bookmarkEnd w:id="0"/>
    </w:p>
    <w:p w:rsidR="0069185B" w:rsidRPr="0087403A" w:rsidRDefault="0069185B" w:rsidP="0087403A">
      <w:pPr>
        <w:widowControl/>
        <w:spacing w:line="720" w:lineRule="atLeast"/>
        <w:jc w:val="center"/>
        <w:outlineLvl w:val="0"/>
        <w:rPr>
          <w:rFonts w:ascii="微软雅黑" w:eastAsia="微软雅黑" w:hAnsi="微软雅黑" w:cs="宋体"/>
          <w:bCs/>
          <w:color w:val="2298FF"/>
          <w:kern w:val="36"/>
          <w:szCs w:val="21"/>
        </w:rPr>
      </w:pPr>
      <w:r w:rsidRPr="0069185B">
        <w:rPr>
          <w:rFonts w:ascii="微软雅黑" w:eastAsia="微软雅黑" w:hAnsi="微软雅黑" w:cs="宋体" w:hint="eastAsia"/>
          <w:bCs/>
          <w:color w:val="000000" w:themeColor="text1"/>
          <w:kern w:val="36"/>
          <w:szCs w:val="21"/>
        </w:rPr>
        <w:t>（陕</w:t>
      </w:r>
      <w:proofErr w:type="gramStart"/>
      <w:r w:rsidRPr="0069185B">
        <w:rPr>
          <w:rFonts w:ascii="微软雅黑" w:eastAsia="微软雅黑" w:hAnsi="微软雅黑" w:cs="宋体" w:hint="eastAsia"/>
          <w:bCs/>
          <w:color w:val="000000" w:themeColor="text1"/>
          <w:kern w:val="36"/>
          <w:szCs w:val="21"/>
        </w:rPr>
        <w:t>劳</w:t>
      </w:r>
      <w:proofErr w:type="gramEnd"/>
      <w:r w:rsidRPr="0069185B">
        <w:rPr>
          <w:rFonts w:ascii="微软雅黑" w:eastAsia="微软雅黑" w:hAnsi="微软雅黑" w:cs="宋体" w:hint="eastAsia"/>
          <w:bCs/>
          <w:color w:val="000000" w:themeColor="text1"/>
          <w:kern w:val="36"/>
          <w:szCs w:val="21"/>
        </w:rPr>
        <w:t>社发［2005］ 144号）</w:t>
      </w:r>
    </w:p>
    <w:p w:rsidR="0069185B" w:rsidRDefault="0069185B"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省级党政机关、事业单位、各人民团体：</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省级机关事业单位职工基本医疗保险制度实施以来，我们按照国家有关政策，建立了门诊特殊慢性病、特殊检查、特殊治疗医疗费用补助的制度，在减轻职工门诊医疗费用的负担，保障职工基本医疗需求方面发挥了重要作用，受到广大参保职工的欢迎。但是，随着医疗保险制度改革的深入，其不足之处日益显现。主要是门诊特殊慢性病</w:t>
      </w:r>
      <w:proofErr w:type="gramStart"/>
      <w:r w:rsidRPr="0069185B">
        <w:rPr>
          <w:rFonts w:ascii="宋体" w:eastAsia="宋体" w:hAnsi="宋体" w:cs="宋体" w:hint="eastAsia"/>
          <w:color w:val="000000"/>
          <w:kern w:val="0"/>
          <w:sz w:val="24"/>
          <w:szCs w:val="24"/>
          <w:bdr w:val="none" w:sz="0" w:space="0" w:color="auto" w:frame="1"/>
        </w:rPr>
        <w:t>种设置</w:t>
      </w:r>
      <w:proofErr w:type="gramEnd"/>
      <w:r w:rsidRPr="0069185B">
        <w:rPr>
          <w:rFonts w:ascii="宋体" w:eastAsia="宋体" w:hAnsi="宋体" w:cs="宋体" w:hint="eastAsia"/>
          <w:color w:val="000000"/>
          <w:kern w:val="0"/>
          <w:sz w:val="24"/>
          <w:szCs w:val="24"/>
          <w:bdr w:val="none" w:sz="0" w:space="0" w:color="auto" w:frame="1"/>
        </w:rPr>
        <w:t>不科学，缺乏费用控制机制，存在一定的浪费现象。因此，我们在调研、测算和分析的基础上，制定了《陕西省省级机关事业单位职工基本医疗保险门诊特殊慢性病、特殊检查、特殊治疗管理暂行办法》，现印发给你们，请遵照执行，并协助做好管理和政策宣传工作。 </w:t>
      </w:r>
      <w:r w:rsidRPr="0069185B">
        <w:rPr>
          <w:rFonts w:ascii="微软雅黑" w:eastAsia="微软雅黑" w:hAnsi="微软雅黑" w:cs="宋体" w:hint="eastAsia"/>
          <w:color w:val="000000"/>
          <w:kern w:val="0"/>
          <w:szCs w:val="21"/>
          <w:bdr w:val="none" w:sz="0" w:space="0" w:color="auto" w:frame="1"/>
        </w:rPr>
        <w:br/>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w:t>
      </w:r>
      <w:r w:rsidR="00E536C5">
        <w:rPr>
          <w:rFonts w:ascii="宋体" w:eastAsia="宋体" w:hAnsi="宋体" w:cs="宋体" w:hint="eastAsia"/>
          <w:color w:val="000000"/>
          <w:kern w:val="0"/>
          <w:sz w:val="24"/>
          <w:szCs w:val="24"/>
          <w:bdr w:val="none" w:sz="0" w:space="0" w:color="auto" w:frame="1"/>
        </w:rPr>
        <w:t xml:space="preserve">　</w:t>
      </w:r>
      <w:r w:rsidRPr="0069185B">
        <w:rPr>
          <w:rFonts w:ascii="宋体" w:eastAsia="宋体" w:hAnsi="宋体" w:cs="宋体" w:hint="eastAsia"/>
          <w:color w:val="000000"/>
          <w:kern w:val="0"/>
          <w:sz w:val="24"/>
          <w:szCs w:val="24"/>
          <w:bdr w:val="none" w:sz="0" w:space="0" w:color="auto" w:frame="1"/>
        </w:rPr>
        <w:t>二OO五年十二月十九日</w:t>
      </w:r>
    </w:p>
    <w:p w:rsidR="0069185B" w:rsidRDefault="0069185B" w:rsidP="0069185B">
      <w:pPr>
        <w:widowControl/>
        <w:spacing w:line="315" w:lineRule="atLeast"/>
        <w:ind w:firstLine="480"/>
        <w:jc w:val="center"/>
        <w:rPr>
          <w:rFonts w:ascii="宋体" w:eastAsia="宋体" w:hAnsi="宋体" w:cs="宋体"/>
          <w:b/>
          <w:bCs/>
          <w:color w:val="000000"/>
          <w:kern w:val="0"/>
          <w:sz w:val="24"/>
          <w:szCs w:val="24"/>
          <w:bdr w:val="none" w:sz="0" w:space="0" w:color="auto" w:frame="1"/>
        </w:rPr>
      </w:pPr>
    </w:p>
    <w:p w:rsidR="0069185B" w:rsidRDefault="0069185B" w:rsidP="0069185B">
      <w:pPr>
        <w:widowControl/>
        <w:spacing w:line="315" w:lineRule="atLeast"/>
        <w:ind w:firstLine="480"/>
        <w:jc w:val="center"/>
        <w:rPr>
          <w:rFonts w:ascii="宋体" w:eastAsia="宋体" w:hAnsi="宋体" w:cs="宋体"/>
          <w:b/>
          <w:bCs/>
          <w:color w:val="000000"/>
          <w:kern w:val="0"/>
          <w:sz w:val="24"/>
          <w:szCs w:val="24"/>
          <w:bdr w:val="none" w:sz="0" w:space="0" w:color="auto" w:frame="1"/>
        </w:rPr>
      </w:pPr>
    </w:p>
    <w:p w:rsidR="0069185B" w:rsidRPr="0069185B" w:rsidRDefault="0069185B" w:rsidP="0069185B">
      <w:pPr>
        <w:widowControl/>
        <w:spacing w:line="315" w:lineRule="atLeast"/>
        <w:ind w:firstLine="480"/>
        <w:jc w:val="center"/>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陕西省省级机关事业单位职工基本医疗保险</w:t>
      </w:r>
    </w:p>
    <w:p w:rsidR="0069185B" w:rsidRPr="0069185B" w:rsidRDefault="0069185B" w:rsidP="0069185B">
      <w:pPr>
        <w:widowControl/>
        <w:spacing w:line="315" w:lineRule="atLeast"/>
        <w:ind w:firstLine="480"/>
        <w:jc w:val="center"/>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门诊特殊慢性病、特殊检查、特殊治疗管理办法</w:t>
      </w: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微软雅黑" w:eastAsia="微软雅黑" w:hAnsi="微软雅黑" w:cs="宋体" w:hint="eastAsia"/>
          <w:b/>
          <w:bCs/>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第一条 为了保障参保职工的基本医疗需求，减轻省级机关事业单位职工门诊就医的负担，加强基本医疗保险管理，根据《陕西省省级机关事业单位职工基本医疗保险暂行办法》，结合我省省级机关事业单位的实际，制定本办法。</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第二条 门诊特殊慢性病病种范围：l、原发性高血压病；2、冠状动脉硬化性心脏病；3、动脉硬化性脑梗塞后遗症；4、脑栓塞后遗症；5、脑出血后遗症；6、慢性再生障碍性贫血；7、风湿性心脏病；8、糖尿病；9、肝硬化（失代偿期）；10、慢性阻塞性肺病；11、精神分裂症；12、系统性红斑狼疮；13、帕金森病；14、恶性肿瘤。</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第三条 门诊特殊检查、特殊治疗项目范围：l、CT和SPECT（单光子发射电子计算机扫描装置）；2、核磁共振（MRI）；3、心脏彩色B超；4、颈颅彩色多普勒血管检查（TCD）；5、胃、十二指肠镜检查；6、结肠镜检查；7、动态心电图；8、高压氧舱治疗；9、核素扫描；10、支气管镜检查；11、体外振波碎石治疗泌尿系统、胆道结石；12、体外射频治疗重度前列腺肥大。</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第四条 门诊特殊治疗范围：1、慢性肾功能衰竭病人腹膜透析、血液透析；2、肾移植术后服用抗排斥药；3、恶性肿瘤门诊放、化疗。</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第五条 门诊特殊慢性病管理</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（一）患有门诊特殊慢性病的职工由本人提出申请，提交所申报病种的住院病历（限三年内）复印件、门诊病历和检查化验报告单原件及抢救病历复印件等相关</w:t>
      </w:r>
      <w:r w:rsidRPr="0069185B">
        <w:rPr>
          <w:rFonts w:ascii="宋体" w:eastAsia="宋体" w:hAnsi="宋体" w:cs="宋体" w:hint="eastAsia"/>
          <w:color w:val="000000"/>
          <w:kern w:val="0"/>
          <w:sz w:val="24"/>
          <w:szCs w:val="24"/>
          <w:bdr w:val="none" w:sz="0" w:space="0" w:color="auto" w:frame="1"/>
        </w:rPr>
        <w:lastRenderedPageBreak/>
        <w:t>资料。由职工所在单位</w:t>
      </w:r>
      <w:proofErr w:type="gramStart"/>
      <w:r w:rsidRPr="0069185B">
        <w:rPr>
          <w:rFonts w:ascii="宋体" w:eastAsia="宋体" w:hAnsi="宋体" w:cs="宋体" w:hint="eastAsia"/>
          <w:color w:val="000000"/>
          <w:kern w:val="0"/>
          <w:sz w:val="24"/>
          <w:szCs w:val="24"/>
          <w:bdr w:val="none" w:sz="0" w:space="0" w:color="auto" w:frame="1"/>
        </w:rPr>
        <w:t>医</w:t>
      </w:r>
      <w:proofErr w:type="gramEnd"/>
      <w:r w:rsidRPr="0069185B">
        <w:rPr>
          <w:rFonts w:ascii="宋体" w:eastAsia="宋体" w:hAnsi="宋体" w:cs="宋体" w:hint="eastAsia"/>
          <w:color w:val="000000"/>
          <w:kern w:val="0"/>
          <w:sz w:val="24"/>
          <w:szCs w:val="24"/>
          <w:bdr w:val="none" w:sz="0" w:space="0" w:color="auto" w:frame="1"/>
        </w:rPr>
        <w:t>保专干于每年九月份集中上报省医疗保险管理中心办理门诊特殊慢性病鉴定手续。 </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二）省医疗保险管理中心对参保单位上报的职工特殊慢性病资料进行审查，并组织医学专家进行鉴定。对符合门诊特殊慢性病诊断标准（见附件一）的，由省医疗保险管理中心，发给《门诊特殊慢性病专用病历》并备案。对有必要进一步检查的，由省医疗保险管理中心指定医院复查。</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（三）门诊特殊慢性病定点医疗机构和定点零售药店由省医疗保险管理中心选择确定，并向社会公布。门诊特殊慢性病患者每人只能选定其中一家定点医疗机构和定点零售药店，进行门诊特殊慢性病的治疗。</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（四）特殊慢性病定点医疗机构专诊医师应按照因病施治、合理用药的原则，在基本医疗保险药品目录、诊疗项目、服务设施的范围内，为职工制定治疗计划，并由定点医疗机构</w:t>
      </w:r>
      <w:proofErr w:type="gramStart"/>
      <w:r w:rsidRPr="0069185B">
        <w:rPr>
          <w:rFonts w:ascii="宋体" w:eastAsia="宋体" w:hAnsi="宋体" w:cs="宋体" w:hint="eastAsia"/>
          <w:color w:val="000000"/>
          <w:kern w:val="0"/>
          <w:sz w:val="24"/>
          <w:szCs w:val="24"/>
          <w:bdr w:val="none" w:sz="0" w:space="0" w:color="auto" w:frame="1"/>
        </w:rPr>
        <w:t>医</w:t>
      </w:r>
      <w:proofErr w:type="gramEnd"/>
      <w:r w:rsidRPr="0069185B">
        <w:rPr>
          <w:rFonts w:ascii="宋体" w:eastAsia="宋体" w:hAnsi="宋体" w:cs="宋体" w:hint="eastAsia"/>
          <w:color w:val="000000"/>
          <w:kern w:val="0"/>
          <w:sz w:val="24"/>
          <w:szCs w:val="24"/>
          <w:bdr w:val="none" w:sz="0" w:space="0" w:color="auto" w:frame="1"/>
        </w:rPr>
        <w:t>保办上报省医疗保险管理中心审核后方可实施。因病情变化需要调整治疗计划的，需由专诊医师说明理由，并将调整后的治疗计划，报省医疗保险管理中心审核。</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（五）</w:t>
      </w:r>
      <w:proofErr w:type="gramStart"/>
      <w:r w:rsidRPr="0069185B">
        <w:rPr>
          <w:rFonts w:ascii="宋体" w:eastAsia="宋体" w:hAnsi="宋体" w:cs="宋体" w:hint="eastAsia"/>
          <w:color w:val="000000"/>
          <w:kern w:val="0"/>
          <w:sz w:val="24"/>
          <w:szCs w:val="24"/>
          <w:bdr w:val="none" w:sz="0" w:space="0" w:color="auto" w:frame="1"/>
        </w:rPr>
        <w:t>诊特殊</w:t>
      </w:r>
      <w:proofErr w:type="gramEnd"/>
      <w:r w:rsidRPr="0069185B">
        <w:rPr>
          <w:rFonts w:ascii="宋体" w:eastAsia="宋体" w:hAnsi="宋体" w:cs="宋体" w:hint="eastAsia"/>
          <w:color w:val="000000"/>
          <w:kern w:val="0"/>
          <w:sz w:val="24"/>
          <w:szCs w:val="24"/>
          <w:bdr w:val="none" w:sz="0" w:space="0" w:color="auto" w:frame="1"/>
        </w:rPr>
        <w:t>慢性病的医疗费设立年度起付标准，并实行月医疗费限额管理（月医疗费限额标准见附件二）。2006年度起付标准暂定为650元。门诊特殊慢性病患者年度内医疗费用超过起付标准的，报经省医疗保险管理中心审核并加盖“起付标准章”后，方可在本人所选择的定点医疗机构或定点零售药店挂帐就医购药。在月医疗费限额以下符合规定的费用，统筹基金支付70%、个人负担30%。 </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（六）门诊特殊慢性病患者所选择的定点医疗机构原则上在一个年度内不能变更。因居住地迁移、病情需要等原因确需变更的，须经省医疗保险管理中心审核同意。</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（七）门诊特殊慢性病职工因病住院治疗期间，暂停享受特殊慢性病有关待遇。</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八）建立门诊特殊慢性病复审制度。省医疗保险管理中心每年组织医学专家对门诊特殊慢性病的治疗情况进行复查审核。对病情稳定的原因、不需要继续治疗的职工，省医疗保险管理中心将终止其门诊特殊慢性病待遇，并注销有关证件。</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（九）职工需要增加慢性病病种，可按本条第（一）</w:t>
      </w:r>
      <w:proofErr w:type="gramStart"/>
      <w:r w:rsidRPr="0069185B">
        <w:rPr>
          <w:rFonts w:ascii="宋体" w:eastAsia="宋体" w:hAnsi="宋体" w:cs="宋体" w:hint="eastAsia"/>
          <w:color w:val="000000"/>
          <w:kern w:val="0"/>
          <w:sz w:val="24"/>
          <w:szCs w:val="24"/>
          <w:bdr w:val="none" w:sz="0" w:space="0" w:color="auto" w:frame="1"/>
        </w:rPr>
        <w:t>项程序</w:t>
      </w:r>
      <w:proofErr w:type="gramEnd"/>
      <w:r w:rsidRPr="0069185B">
        <w:rPr>
          <w:rFonts w:ascii="宋体" w:eastAsia="宋体" w:hAnsi="宋体" w:cs="宋体" w:hint="eastAsia"/>
          <w:color w:val="000000"/>
          <w:kern w:val="0"/>
          <w:sz w:val="24"/>
          <w:szCs w:val="24"/>
          <w:bdr w:val="none" w:sz="0" w:space="0" w:color="auto" w:frame="1"/>
        </w:rPr>
        <w:t>办理。</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 第六条 门诊特殊检查管理</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职工因病在定点医疗机构就医，需要进行门诊特殊检查和高压氧舱、体外碎石、重度前列腺肥大射频治疗的，应持《诊疗证》、医疗保险卡和主管医师填写的《门诊特殊检查、特殊治疗申请表》，到定点医疗机构</w:t>
      </w:r>
      <w:proofErr w:type="gramStart"/>
      <w:r w:rsidRPr="0069185B">
        <w:rPr>
          <w:rFonts w:ascii="宋体" w:eastAsia="宋体" w:hAnsi="宋体" w:cs="宋体" w:hint="eastAsia"/>
          <w:color w:val="000000"/>
          <w:kern w:val="0"/>
          <w:sz w:val="24"/>
          <w:szCs w:val="24"/>
          <w:bdr w:val="none" w:sz="0" w:space="0" w:color="auto" w:frame="1"/>
        </w:rPr>
        <w:t>医</w:t>
      </w:r>
      <w:proofErr w:type="gramEnd"/>
      <w:r w:rsidRPr="0069185B">
        <w:rPr>
          <w:rFonts w:ascii="宋体" w:eastAsia="宋体" w:hAnsi="宋体" w:cs="宋体" w:hint="eastAsia"/>
          <w:color w:val="000000"/>
          <w:kern w:val="0"/>
          <w:sz w:val="24"/>
          <w:szCs w:val="24"/>
          <w:bdr w:val="none" w:sz="0" w:space="0" w:color="auto" w:frame="1"/>
        </w:rPr>
        <w:t>保办审核确认后方可进行检查（治疗）。其费用由统筹基金支付70%、个人负担30%。 </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第七条 门诊特殊治疗管理 </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（一）门诊特殊治疗实行审核备案制度。职工进行门诊特殊</w:t>
      </w:r>
      <w:proofErr w:type="gramStart"/>
      <w:r w:rsidRPr="0069185B">
        <w:rPr>
          <w:rFonts w:ascii="宋体" w:eastAsia="宋体" w:hAnsi="宋体" w:cs="宋体" w:hint="eastAsia"/>
          <w:color w:val="000000"/>
          <w:kern w:val="0"/>
          <w:sz w:val="24"/>
          <w:szCs w:val="24"/>
          <w:bdr w:val="none" w:sz="0" w:space="0" w:color="auto" w:frame="1"/>
        </w:rPr>
        <w:t>洽疗应由</w:t>
      </w:r>
      <w:proofErr w:type="gramEnd"/>
      <w:r w:rsidRPr="0069185B">
        <w:rPr>
          <w:rFonts w:ascii="宋体" w:eastAsia="宋体" w:hAnsi="宋体" w:cs="宋体" w:hint="eastAsia"/>
          <w:color w:val="000000"/>
          <w:kern w:val="0"/>
          <w:sz w:val="24"/>
          <w:szCs w:val="24"/>
          <w:bdr w:val="none" w:sz="0" w:space="0" w:color="auto" w:frame="1"/>
        </w:rPr>
        <w:t>本人提出申请，并提交所申报病种的住院病历（限三年内）复印件、门诊病历和检查化验报告单原件。由职工所在单位</w:t>
      </w:r>
      <w:proofErr w:type="gramStart"/>
      <w:r w:rsidRPr="0069185B">
        <w:rPr>
          <w:rFonts w:ascii="宋体" w:eastAsia="宋体" w:hAnsi="宋体" w:cs="宋体" w:hint="eastAsia"/>
          <w:color w:val="000000"/>
          <w:kern w:val="0"/>
          <w:sz w:val="24"/>
          <w:szCs w:val="24"/>
          <w:bdr w:val="none" w:sz="0" w:space="0" w:color="auto" w:frame="1"/>
        </w:rPr>
        <w:t>医</w:t>
      </w:r>
      <w:proofErr w:type="gramEnd"/>
      <w:r w:rsidRPr="0069185B">
        <w:rPr>
          <w:rFonts w:ascii="宋体" w:eastAsia="宋体" w:hAnsi="宋体" w:cs="宋体" w:hint="eastAsia"/>
          <w:color w:val="000000"/>
          <w:kern w:val="0"/>
          <w:sz w:val="24"/>
          <w:szCs w:val="24"/>
          <w:bdr w:val="none" w:sz="0" w:space="0" w:color="auto" w:frame="1"/>
        </w:rPr>
        <w:t>保</w:t>
      </w:r>
      <w:proofErr w:type="gramStart"/>
      <w:r w:rsidRPr="0069185B">
        <w:rPr>
          <w:rFonts w:ascii="宋体" w:eastAsia="宋体" w:hAnsi="宋体" w:cs="宋体" w:hint="eastAsia"/>
          <w:color w:val="000000"/>
          <w:kern w:val="0"/>
          <w:sz w:val="24"/>
          <w:szCs w:val="24"/>
          <w:bdr w:val="none" w:sz="0" w:space="0" w:color="auto" w:frame="1"/>
        </w:rPr>
        <w:t>专干报</w:t>
      </w:r>
      <w:proofErr w:type="gramEnd"/>
      <w:r w:rsidRPr="0069185B">
        <w:rPr>
          <w:rFonts w:ascii="宋体" w:eastAsia="宋体" w:hAnsi="宋体" w:cs="宋体" w:hint="eastAsia"/>
          <w:color w:val="000000"/>
          <w:kern w:val="0"/>
          <w:sz w:val="24"/>
          <w:szCs w:val="24"/>
          <w:bdr w:val="none" w:sz="0" w:space="0" w:color="auto" w:frame="1"/>
        </w:rPr>
        <w:t>省医疗保险管理中心审核备案。符合条件者，由省医疗保险管理中心发给《门诊特殊治疗专用病历》。</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（二）门诊特殊治疗应符合基本医疗保险药品目录、诊疗项目、服务设施的范围。慢性肾功能衰竭腹膜透析、血液透析</w:t>
      </w:r>
      <w:proofErr w:type="gramStart"/>
      <w:r w:rsidRPr="0069185B">
        <w:rPr>
          <w:rFonts w:ascii="宋体" w:eastAsia="宋体" w:hAnsi="宋体" w:cs="宋体" w:hint="eastAsia"/>
          <w:color w:val="000000"/>
          <w:kern w:val="0"/>
          <w:sz w:val="24"/>
          <w:szCs w:val="24"/>
          <w:bdr w:val="none" w:sz="0" w:space="0" w:color="auto" w:frame="1"/>
        </w:rPr>
        <w:t>用药仅</w:t>
      </w:r>
      <w:proofErr w:type="gramEnd"/>
      <w:r w:rsidRPr="0069185B">
        <w:rPr>
          <w:rFonts w:ascii="宋体" w:eastAsia="宋体" w:hAnsi="宋体" w:cs="宋体" w:hint="eastAsia"/>
          <w:color w:val="000000"/>
          <w:kern w:val="0"/>
          <w:sz w:val="24"/>
          <w:szCs w:val="24"/>
          <w:bdr w:val="none" w:sz="0" w:space="0" w:color="auto" w:frame="1"/>
        </w:rPr>
        <w:t>限于促红细胞生成素、骨化三醇、低分子肝素；透析次数每两周不得超过5次。恶性肿瘤门诊放、化疗须由首诊医院制定放、化疗计划，经省医疗保险管理中心审核备案后方可挂帐治疗。</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lastRenderedPageBreak/>
        <w:t>  </w:t>
      </w:r>
      <w:r w:rsidRPr="0069185B">
        <w:rPr>
          <w:rFonts w:ascii="宋体" w:eastAsia="宋体" w:hAnsi="宋体" w:cs="宋体" w:hint="eastAsia"/>
          <w:color w:val="000000"/>
          <w:kern w:val="0"/>
          <w:sz w:val="24"/>
          <w:szCs w:val="24"/>
          <w:bdr w:val="none" w:sz="0" w:space="0" w:color="auto" w:frame="1"/>
        </w:rPr>
        <w:t>（三）恶性肿瘤门诊放、化疗费用由统筹基支付70%、个人负担30%；慢性肾功能衰竭血液透析（腹膜透析）和肾移植术后服用抗排斥药的费用，由统筹基金支付90%、个人负担10%。</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第八条 参保职工在一个年度内发生门诊特殊慢性病、特殊检查、特殊治疗的医疗费在基本医疗保险最高支付限额以上、重大疾病最高支付限额以下的部分，</w:t>
      </w:r>
      <w:proofErr w:type="gramStart"/>
      <w:r w:rsidRPr="0069185B">
        <w:rPr>
          <w:rFonts w:ascii="宋体" w:eastAsia="宋体" w:hAnsi="宋体" w:cs="宋体" w:hint="eastAsia"/>
          <w:color w:val="000000"/>
          <w:kern w:val="0"/>
          <w:sz w:val="24"/>
          <w:szCs w:val="24"/>
          <w:bdr w:val="none" w:sz="0" w:space="0" w:color="auto" w:frame="1"/>
        </w:rPr>
        <w:t>按重大</w:t>
      </w:r>
      <w:proofErr w:type="gramEnd"/>
      <w:r w:rsidRPr="0069185B">
        <w:rPr>
          <w:rFonts w:ascii="宋体" w:eastAsia="宋体" w:hAnsi="宋体" w:cs="宋体" w:hint="eastAsia"/>
          <w:color w:val="000000"/>
          <w:kern w:val="0"/>
          <w:sz w:val="24"/>
          <w:szCs w:val="24"/>
          <w:bdr w:val="none" w:sz="0" w:space="0" w:color="auto" w:frame="1"/>
        </w:rPr>
        <w:t>疾病医疗补助的待遇标准执行。</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第九条 省直机关公务员因病发生符合规定的门诊特殊慢性病、特殊检查、特殊治疗的医疗费个人负担部分，按照《陕西省省直机关公务员医疗补助暂行办法》》的有关规定进行补助。</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第十条 长住外地职工的门诊特殊慢性病、特殊检查、特殊治疗，按本办法的相关规定办理。发生符合本办法规定的门诊医疗费用，先由职工个人垫付，每半年一次，由所在单位</w:t>
      </w:r>
      <w:proofErr w:type="gramStart"/>
      <w:r w:rsidRPr="0069185B">
        <w:rPr>
          <w:rFonts w:ascii="宋体" w:eastAsia="宋体" w:hAnsi="宋体" w:cs="宋体" w:hint="eastAsia"/>
          <w:color w:val="000000"/>
          <w:kern w:val="0"/>
          <w:sz w:val="24"/>
          <w:szCs w:val="24"/>
          <w:bdr w:val="none" w:sz="0" w:space="0" w:color="auto" w:frame="1"/>
        </w:rPr>
        <w:t>医</w:t>
      </w:r>
      <w:proofErr w:type="gramEnd"/>
      <w:r w:rsidRPr="0069185B">
        <w:rPr>
          <w:rFonts w:ascii="宋体" w:eastAsia="宋体" w:hAnsi="宋体" w:cs="宋体" w:hint="eastAsia"/>
          <w:color w:val="000000"/>
          <w:kern w:val="0"/>
          <w:sz w:val="24"/>
          <w:szCs w:val="24"/>
          <w:bdr w:val="none" w:sz="0" w:space="0" w:color="auto" w:frame="1"/>
        </w:rPr>
        <w:t>保专干将报销所需的门诊病历、门诊处方、正式发票及其它材料报省医疗保险管理中心审核报销。</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第十一条 因病种调整遗留个别问题的处理办法另行制定。</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第十二条 职工和定点医疗机构有弄虚作假、骗取医疗保险基金行为的，依据《陕西省省级机关事业单位职工基本医疗保险暂行办法》中的有关规定进行处理。</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第十三条 省劳动保障部门可根据医疗保险基金运行情况，对门诊特殊慢性病病种、特殊检查、特殊治疗项目的范围及其待遇标准进行适时调整。</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第十四条 本办法由陕西省劳动和社会保障厅负责解释。</w:t>
      </w:r>
      <w:r w:rsidRPr="0069185B">
        <w:rPr>
          <w:rFonts w:ascii="微软雅黑" w:eastAsia="微软雅黑" w:hAnsi="微软雅黑" w:cs="宋体" w:hint="eastAsia"/>
          <w:color w:val="000000"/>
          <w:kern w:val="0"/>
          <w:szCs w:val="21"/>
          <w:bdr w:val="none" w:sz="0" w:space="0" w:color="auto" w:frame="1"/>
        </w:rPr>
        <w:br/>
      </w:r>
      <w:r w:rsidR="00E536C5">
        <w:rPr>
          <w:rFonts w:ascii="宋体" w:eastAsia="宋体" w:hAnsi="宋体" w:cs="宋体" w:hint="eastAsia"/>
          <w:color w:val="000000"/>
          <w:kern w:val="0"/>
          <w:sz w:val="24"/>
          <w:szCs w:val="24"/>
          <w:bdr w:val="none" w:sz="0" w:space="0" w:color="auto" w:frame="1"/>
        </w:rPr>
        <w:t>  </w:t>
      </w:r>
      <w:r w:rsidRPr="0069185B">
        <w:rPr>
          <w:rFonts w:ascii="宋体" w:eastAsia="宋体" w:hAnsi="宋体" w:cs="宋体" w:hint="eastAsia"/>
          <w:color w:val="000000"/>
          <w:kern w:val="0"/>
          <w:sz w:val="24"/>
          <w:szCs w:val="24"/>
          <w:bdr w:val="none" w:sz="0" w:space="0" w:color="auto" w:frame="1"/>
        </w:rPr>
        <w:t>第十五条 本办法从二OO六年一月一日起执行。</w:t>
      </w:r>
      <w:r w:rsidRPr="0069185B">
        <w:rPr>
          <w:rFonts w:ascii="微软雅黑" w:eastAsia="微软雅黑" w:hAnsi="微软雅黑" w:cs="宋体" w:hint="eastAsia"/>
          <w:color w:val="000000"/>
          <w:kern w:val="0"/>
          <w:szCs w:val="21"/>
          <w:bdr w:val="none" w:sz="0" w:space="0" w:color="auto" w:frame="1"/>
        </w:rPr>
        <w:br/>
      </w:r>
      <w:r w:rsidRPr="0069185B">
        <w:rPr>
          <w:rFonts w:ascii="微软雅黑" w:eastAsia="微软雅黑" w:hAnsi="微软雅黑" w:cs="宋体" w:hint="eastAsia"/>
          <w:color w:val="000000"/>
          <w:kern w:val="0"/>
          <w:szCs w:val="21"/>
          <w:bdr w:val="none" w:sz="0" w:space="0" w:color="auto" w:frame="1"/>
        </w:rPr>
        <w:br/>
      </w:r>
      <w:r w:rsidRPr="0069185B">
        <w:rPr>
          <w:rFonts w:ascii="微软雅黑" w:eastAsia="微软雅黑" w:hAnsi="微软雅黑" w:cs="宋体" w:hint="eastAsia"/>
          <w:color w:val="000000"/>
          <w:kern w:val="0"/>
          <w:szCs w:val="21"/>
          <w:bdr w:val="none" w:sz="0" w:space="0" w:color="auto" w:frame="1"/>
        </w:rPr>
        <w:br/>
      </w:r>
      <w:r w:rsidRPr="0069185B">
        <w:rPr>
          <w:rFonts w:ascii="微软雅黑" w:eastAsia="微软雅黑" w:hAnsi="微软雅黑" w:cs="宋体" w:hint="eastAsia"/>
          <w:b/>
          <w:bCs/>
          <w:color w:val="000000"/>
          <w:kern w:val="0"/>
          <w:szCs w:val="21"/>
          <w:bdr w:val="none" w:sz="0" w:space="0" w:color="auto" w:frame="1"/>
        </w:rPr>
        <w:br/>
      </w: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87403A" w:rsidRDefault="0087403A" w:rsidP="0069185B">
      <w:pPr>
        <w:widowControl/>
        <w:spacing w:line="315" w:lineRule="atLeast"/>
        <w:ind w:firstLine="480"/>
        <w:jc w:val="left"/>
        <w:rPr>
          <w:rFonts w:ascii="宋体" w:eastAsia="宋体" w:hAnsi="宋体" w:cs="宋体"/>
          <w:b/>
          <w:bCs/>
          <w:color w:val="000000"/>
          <w:kern w:val="0"/>
          <w:sz w:val="24"/>
          <w:szCs w:val="24"/>
          <w:bdr w:val="none" w:sz="0" w:space="0" w:color="auto" w:frame="1"/>
        </w:rPr>
      </w:pP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lastRenderedPageBreak/>
        <w:t>附件一: </w:t>
      </w:r>
      <w:r w:rsidRPr="0069185B">
        <w:rPr>
          <w:rFonts w:ascii="宋体" w:eastAsia="宋体" w:hAnsi="宋体" w:cs="宋体" w:hint="eastAsia"/>
          <w:color w:val="000000"/>
          <w:kern w:val="0"/>
          <w:sz w:val="24"/>
          <w:szCs w:val="24"/>
          <w:bdr w:val="none" w:sz="0" w:space="0" w:color="auto" w:frame="1"/>
        </w:rPr>
        <w:t>                 </w:t>
      </w:r>
    </w:p>
    <w:p w:rsidR="0069185B" w:rsidRPr="0069185B" w:rsidRDefault="0069185B" w:rsidP="0069185B">
      <w:pPr>
        <w:widowControl/>
        <w:spacing w:line="315" w:lineRule="atLeast"/>
        <w:ind w:firstLine="480"/>
        <w:jc w:val="center"/>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门诊特殊慢性病鉴定标准</w:t>
      </w:r>
    </w:p>
    <w:p w:rsidR="0069185B" w:rsidRPr="0069185B" w:rsidRDefault="00E536C5" w:rsidP="0069185B">
      <w:pPr>
        <w:widowControl/>
        <w:spacing w:line="315"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bdr w:val="none" w:sz="0" w:space="0" w:color="auto" w:frame="1"/>
        </w:rPr>
        <w:t>  </w:t>
      </w:r>
      <w:r w:rsidR="0069185B" w:rsidRPr="0069185B">
        <w:rPr>
          <w:rFonts w:ascii="宋体" w:eastAsia="宋体" w:hAnsi="宋体" w:cs="宋体" w:hint="eastAsia"/>
          <w:color w:val="000000"/>
          <w:kern w:val="0"/>
          <w:sz w:val="24"/>
          <w:szCs w:val="24"/>
          <w:bdr w:val="none" w:sz="0" w:space="0" w:color="auto" w:frame="1"/>
        </w:rPr>
        <w:t> 一、原发性高血压病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1、原发性高血压病A:血压达到确诊水平，并有下列病症之一者：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（l）心电图示左室高电压，或X线、超声心动图检查证实左心室肥厚；</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（2）眼底检查有眼底动脉普遍或局部变窄和动静脉压迹。</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2、原发性高血压B:血压达到确诊水平，提供住院病历，并有下列病症之一者：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w:t>
      </w:r>
      <w:proofErr w:type="gramStart"/>
      <w:r w:rsidR="0069185B" w:rsidRPr="0069185B">
        <w:rPr>
          <w:rFonts w:ascii="宋体" w:eastAsia="宋体" w:hAnsi="宋体" w:cs="宋体" w:hint="eastAsia"/>
          <w:color w:val="000000"/>
          <w:kern w:val="0"/>
          <w:sz w:val="24"/>
          <w:szCs w:val="24"/>
          <w:bdr w:val="none" w:sz="0" w:space="0" w:color="auto" w:frame="1"/>
        </w:rPr>
        <w:t>近期半</w:t>
      </w:r>
      <w:proofErr w:type="gramEnd"/>
      <w:r w:rsidR="0069185B" w:rsidRPr="0069185B">
        <w:rPr>
          <w:rFonts w:ascii="宋体" w:eastAsia="宋体" w:hAnsi="宋体" w:cs="宋体" w:hint="eastAsia"/>
          <w:color w:val="000000"/>
          <w:kern w:val="0"/>
          <w:sz w:val="24"/>
          <w:szCs w:val="24"/>
          <w:bdr w:val="none" w:sz="0" w:space="0" w:color="auto" w:frame="1"/>
        </w:rPr>
        <w:t>年内有心衰并心功能为三级。</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（2）近期有眼底出血或渗血，视乳头水肿。</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（3）有脑中风并发症。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（4）有肾功能不全并发症。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二、冠状动脉硬化性心脏病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1、有典型的突发性胸骨后疼痛的心绞痛临床表现。</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2、经过临床心电图、心电图负荷试验、超声心动图、动态心电图、放射性核素检查、冠状动脉造影检查，符合冠心病诊断者。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三、动脉硬化性脑梗塞后遗症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1、动脉硬化性脑梗塞后遗症A</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（1）起病缓慢，数小时或l—2天后出现半身瘫痪及意识障碍。</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（2）颅脑CT、MRI等检查确定诊断。</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（3）经过门诊、住院治疗后仍存在肢体功能障碍者。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2、动脉硬化性脑梗塞后遗症B</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符合A类条件，井有一定程度的意识障碍、语言障碍等神经症状者。 </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四、脑栓塞后遗症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l、脑栓塞后遗症A</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（1）起病突然，常出现偏瘫，肢体感觉障碍，偏盲、失语等典型的临床表现体症，有不同程度的意识障碍。</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（2）颅脑CT、MRI等检查发现原发病变。</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（3）临床辅助检查发现原发病变。</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（4）经过门诊、住院治疗后仍留后肢体功能障碍者。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 脑栓塞后遗症B</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符合A类条件，并有一定程度的意识障碍、语言障碍的神经症状者可以确定。</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五、脑出血后遗症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1、脑出血后遗症A</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（1）高血压病史，突发头痛、发热、呕吐、意识障碍、肢体障碍、失语、大小便失禁等临床体症和症状。</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（2）辅助检查：眼底或脑脊液检查化验出现异常。CT、MRI检查有基底节、内囊、脑桥出现等表现。</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（3）经过门诊、住院治疗后仍留后肢体功能障碍者。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2、脑出血后遗症B</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lastRenderedPageBreak/>
        <w:t>    符合A类条件，并有一定程度的意识障碍、语言障碍的神经症状者。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六、慢性再生障碍性贫血</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l、有典型的临床症状。</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2、常规血象及骨髓化验检查均提示再生障碍性贫血。</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3、除外其它疾病。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七、糖尿病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1、糖尿病A</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 临床有明显的糖尿病症状及明确的糖尿病病史资料； </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 空腹血糖、糖耐量试验（OGTT）多次符合糖尿病诊断标准。</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2、糖尿病B</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符合糖尿病A</w:t>
      </w:r>
      <w:proofErr w:type="gramStart"/>
      <w:r w:rsidR="0069185B" w:rsidRPr="0069185B">
        <w:rPr>
          <w:rFonts w:ascii="宋体" w:eastAsia="宋体" w:hAnsi="宋体" w:cs="宋体" w:hint="eastAsia"/>
          <w:color w:val="000000"/>
          <w:kern w:val="0"/>
          <w:sz w:val="24"/>
          <w:szCs w:val="24"/>
          <w:bdr w:val="none" w:sz="0" w:space="0" w:color="auto" w:frame="1"/>
        </w:rPr>
        <w:t>类条件</w:t>
      </w:r>
      <w:proofErr w:type="gramEnd"/>
      <w:r w:rsidR="0069185B" w:rsidRPr="0069185B">
        <w:rPr>
          <w:rFonts w:ascii="宋体" w:eastAsia="宋体" w:hAnsi="宋体" w:cs="宋体" w:hint="eastAsia"/>
          <w:color w:val="000000"/>
          <w:kern w:val="0"/>
          <w:sz w:val="24"/>
          <w:szCs w:val="24"/>
          <w:bdr w:val="none" w:sz="0" w:space="0" w:color="auto" w:frame="1"/>
        </w:rPr>
        <w:t>并伴有合并症。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八、风湿性心脏病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l、有风湿性心脏病病史。</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2、近期三个月内检查心功能三级。</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3、有心电图、X线或超声心动检查报告单。</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九、肝硬化（失代偿期）</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l、有明确的肝病病史。</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2、肝功化验检查异常。</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3、出现腹水症状。</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十、慢性阻塞性肺病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l、有慢性支气管炎、支气管哮喘、重症肺结核、支气管扩张等慢性病史。</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2、经X线、心电图检查异常。</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3、肺功能检查异常。</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十一、精神分裂症</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1、有明确的精神分裂症病史。</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2、有精神病专科医院住院病历。</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3、病情迁延不愈三年以上。</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十二、系统性红斑狼疮</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提供住院病历，并符合下列条件者：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l、有典型的临床表现和病史。</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2、实验室检查有多项检测异常。</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3、根据上海风湿病学会（1987）提出的诊断标准，符合标准者。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十三、帕金森病</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 典型帕金森病的临床症状。 </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2、经三甲医院确诊，并有住院病历。</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3、有相关辅助检查协助诊断。</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十四、恶性肿瘤</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t>    1、经手术探查及病理检查确诊为恶性肿瘤。</w:t>
      </w:r>
      <w:r w:rsidR="0069185B" w:rsidRPr="0069185B">
        <w:rPr>
          <w:rFonts w:ascii="微软雅黑" w:eastAsia="微软雅黑" w:hAnsi="微软雅黑" w:cs="宋体" w:hint="eastAsia"/>
          <w:color w:val="000000"/>
          <w:kern w:val="0"/>
          <w:szCs w:val="21"/>
          <w:bdr w:val="none" w:sz="0" w:space="0" w:color="auto" w:frame="1"/>
        </w:rPr>
        <w:br/>
      </w:r>
      <w:r w:rsidR="0069185B" w:rsidRPr="0069185B">
        <w:rPr>
          <w:rFonts w:ascii="宋体" w:eastAsia="宋体" w:hAnsi="宋体" w:cs="宋体" w:hint="eastAsia"/>
          <w:color w:val="000000"/>
          <w:kern w:val="0"/>
          <w:sz w:val="24"/>
          <w:szCs w:val="24"/>
          <w:bdr w:val="none" w:sz="0" w:space="0" w:color="auto" w:frame="1"/>
        </w:rPr>
        <w:lastRenderedPageBreak/>
        <w:t>    2、从确诊恶性肿瘤之日起，经门诊、住院治疗后有肿瘤转移复发者。</w:t>
      </w:r>
      <w:r w:rsidR="0069185B" w:rsidRPr="0069185B">
        <w:rPr>
          <w:rFonts w:ascii="微软雅黑" w:eastAsia="微软雅黑" w:hAnsi="微软雅黑" w:cs="宋体" w:hint="eastAsia"/>
          <w:color w:val="000000"/>
          <w:kern w:val="0"/>
          <w:szCs w:val="21"/>
          <w:bdr w:val="none" w:sz="0" w:space="0" w:color="auto" w:frame="1"/>
        </w:rPr>
        <w:br/>
      </w: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附件二：</w:t>
      </w:r>
    </w:p>
    <w:p w:rsidR="0069185B" w:rsidRPr="0069185B" w:rsidRDefault="0069185B" w:rsidP="0069185B">
      <w:pPr>
        <w:widowControl/>
        <w:spacing w:line="315" w:lineRule="atLeast"/>
        <w:ind w:firstLine="480"/>
        <w:jc w:val="center"/>
        <w:rPr>
          <w:rFonts w:ascii="微软雅黑" w:eastAsia="微软雅黑" w:hAnsi="微软雅黑" w:cs="宋体"/>
          <w:color w:val="333333"/>
          <w:kern w:val="0"/>
          <w:szCs w:val="21"/>
        </w:rPr>
      </w:pPr>
      <w:r w:rsidRPr="0069185B">
        <w:rPr>
          <w:rFonts w:ascii="宋体" w:eastAsia="宋体" w:hAnsi="宋体" w:cs="宋体" w:hint="eastAsia"/>
          <w:b/>
          <w:bCs/>
          <w:color w:val="000000"/>
          <w:kern w:val="0"/>
          <w:sz w:val="24"/>
          <w:szCs w:val="24"/>
          <w:bdr w:val="none" w:sz="0" w:space="0" w:color="auto" w:frame="1"/>
        </w:rPr>
        <w:t>门诊特殊慢性病、门诊特殊治疗统筹基金支付范围及标准</w:t>
      </w: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color w:val="000000"/>
          <w:kern w:val="0"/>
          <w:sz w:val="24"/>
          <w:szCs w:val="24"/>
          <w:bdr w:val="none" w:sz="0" w:space="0" w:color="auto" w:frame="1"/>
        </w:rPr>
        <w:t>    </w:t>
      </w:r>
    </w:p>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color w:val="000000"/>
          <w:kern w:val="0"/>
          <w:sz w:val="24"/>
          <w:szCs w:val="24"/>
          <w:bdr w:val="none" w:sz="0" w:space="0" w:color="auto" w:frame="1"/>
        </w:rPr>
        <w:t>一、门诊特殊治疗统筹基金支付范围：</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l、慢性肾功能衰竭病人在门诊进行腹膜透析或血液透析时，每人每月</w:t>
      </w:r>
      <w:proofErr w:type="gramStart"/>
      <w:r w:rsidRPr="0069185B">
        <w:rPr>
          <w:rFonts w:ascii="宋体" w:eastAsia="宋体" w:hAnsi="宋体" w:cs="宋体" w:hint="eastAsia"/>
          <w:color w:val="000000"/>
          <w:kern w:val="0"/>
          <w:sz w:val="24"/>
          <w:szCs w:val="24"/>
          <w:bdr w:val="none" w:sz="0" w:space="0" w:color="auto" w:frame="1"/>
        </w:rPr>
        <w:t>限使用促红</w:t>
      </w:r>
      <w:proofErr w:type="gramEnd"/>
      <w:r w:rsidRPr="0069185B">
        <w:rPr>
          <w:rFonts w:ascii="宋体" w:eastAsia="宋体" w:hAnsi="宋体" w:cs="宋体" w:hint="eastAsia"/>
          <w:color w:val="000000"/>
          <w:kern w:val="0"/>
          <w:sz w:val="24"/>
          <w:szCs w:val="24"/>
          <w:bdr w:val="none" w:sz="0" w:space="0" w:color="auto" w:frame="1"/>
        </w:rPr>
        <w:t>素12支（每支3000U）、骨化三醇30粒；用可反复使用的透析器治水每人每月</w:t>
      </w:r>
      <w:proofErr w:type="gramStart"/>
      <w:r w:rsidRPr="0069185B">
        <w:rPr>
          <w:rFonts w:ascii="宋体" w:eastAsia="宋体" w:hAnsi="宋体" w:cs="宋体" w:hint="eastAsia"/>
          <w:color w:val="000000"/>
          <w:kern w:val="0"/>
          <w:sz w:val="24"/>
          <w:szCs w:val="24"/>
          <w:bdr w:val="none" w:sz="0" w:space="0" w:color="auto" w:frame="1"/>
        </w:rPr>
        <w:t>限使用</w:t>
      </w:r>
      <w:proofErr w:type="gramEnd"/>
      <w:r w:rsidRPr="0069185B">
        <w:rPr>
          <w:rFonts w:ascii="宋体" w:eastAsia="宋体" w:hAnsi="宋体" w:cs="宋体" w:hint="eastAsia"/>
          <w:color w:val="000000"/>
          <w:kern w:val="0"/>
          <w:sz w:val="24"/>
          <w:szCs w:val="24"/>
          <w:bdr w:val="none" w:sz="0" w:space="0" w:color="auto" w:frame="1"/>
        </w:rPr>
        <w:t>透析器2个、管路3根。</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2、肾移植术后病人服用进口抗排斥药，以国产同类产品价格为准。</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3、恶性肿瘤病人在门诊放、化疗，凭首诊医院出具的疾病诊断相关资料和治疗方案到省医疗保险管理中心审核备案。化疗药品限《陕西省基本医疗保险和工伤保险药品目录》中抗肿瘤药品，</w:t>
      </w:r>
      <w:proofErr w:type="gramStart"/>
      <w:r w:rsidRPr="0069185B">
        <w:rPr>
          <w:rFonts w:ascii="宋体" w:eastAsia="宋体" w:hAnsi="宋体" w:cs="宋体" w:hint="eastAsia"/>
          <w:color w:val="000000"/>
          <w:kern w:val="0"/>
          <w:sz w:val="24"/>
          <w:szCs w:val="24"/>
          <w:bdr w:val="none" w:sz="0" w:space="0" w:color="auto" w:frame="1"/>
        </w:rPr>
        <w:t>井执行</w:t>
      </w:r>
      <w:proofErr w:type="gramEnd"/>
      <w:r w:rsidRPr="0069185B">
        <w:rPr>
          <w:rFonts w:ascii="宋体" w:eastAsia="宋体" w:hAnsi="宋体" w:cs="宋体" w:hint="eastAsia"/>
          <w:color w:val="000000"/>
          <w:kern w:val="0"/>
          <w:sz w:val="24"/>
          <w:szCs w:val="24"/>
          <w:bdr w:val="none" w:sz="0" w:space="0" w:color="auto" w:frame="1"/>
        </w:rPr>
        <w:t>药品目录中病种限制的有关规定。</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二、门诊特殊慢性病月医疗费限额及支付范围：</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1、 门诊特殊慢性病月医疗费限额及支付范围见下表。 </w:t>
      </w:r>
    </w:p>
    <w:tbl>
      <w:tblPr>
        <w:tblW w:w="0" w:type="auto"/>
        <w:tblLook w:val="04A0" w:firstRow="1" w:lastRow="0" w:firstColumn="1" w:lastColumn="0" w:noHBand="0" w:noVBand="1"/>
      </w:tblPr>
      <w:tblGrid>
        <w:gridCol w:w="467"/>
        <w:gridCol w:w="2597"/>
        <w:gridCol w:w="1439"/>
        <w:gridCol w:w="1559"/>
        <w:gridCol w:w="1795"/>
        <w:gridCol w:w="665"/>
      </w:tblGrid>
      <w:tr w:rsidR="0069185B" w:rsidRPr="0069185B" w:rsidTr="00274E08">
        <w:trPr>
          <w:trHeight w:val="340"/>
        </w:trPr>
        <w:tc>
          <w:tcPr>
            <w:tcW w:w="467" w:type="dxa"/>
            <w:tcBorders>
              <w:top w:val="single" w:sz="4" w:space="0" w:color="000000"/>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序</w:t>
            </w:r>
            <w:r w:rsidR="00530E11">
              <w:rPr>
                <w:rFonts w:ascii="宋体" w:eastAsia="宋体" w:hAnsi="宋体" w:cs="宋体" w:hint="eastAsia"/>
                <w:kern w:val="0"/>
                <w:sz w:val="24"/>
                <w:szCs w:val="24"/>
                <w:bdr w:val="none" w:sz="0" w:space="0" w:color="auto" w:frame="1"/>
              </w:rPr>
              <w:t>序</w:t>
            </w:r>
            <w:r w:rsidRPr="0069185B">
              <w:rPr>
                <w:rFonts w:ascii="宋体" w:eastAsia="宋体" w:hAnsi="宋体" w:cs="宋体" w:hint="eastAsia"/>
                <w:kern w:val="0"/>
                <w:sz w:val="24"/>
                <w:szCs w:val="24"/>
                <w:bdr w:val="none" w:sz="0" w:space="0" w:color="auto" w:frame="1"/>
              </w:rPr>
              <w:t>号</w:t>
            </w:r>
          </w:p>
        </w:tc>
        <w:tc>
          <w:tcPr>
            <w:tcW w:w="2597" w:type="dxa"/>
            <w:tcBorders>
              <w:top w:val="single" w:sz="4" w:space="0" w:color="000000"/>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病种名称</w:t>
            </w:r>
          </w:p>
        </w:tc>
        <w:tc>
          <w:tcPr>
            <w:tcW w:w="1439" w:type="dxa"/>
            <w:tcBorders>
              <w:top w:val="single" w:sz="4" w:space="0" w:color="000000"/>
              <w:left w:val="nil"/>
              <w:bottom w:val="single" w:sz="4" w:space="0" w:color="000000"/>
              <w:right w:val="single" w:sz="4" w:space="0" w:color="000000"/>
            </w:tcBorders>
            <w:vAlign w:val="center"/>
            <w:hideMark/>
          </w:tcPr>
          <w:p w:rsidR="0069185B" w:rsidRPr="0069185B" w:rsidRDefault="0069185B" w:rsidP="00274E08">
            <w:pPr>
              <w:widowControl/>
              <w:spacing w:line="315" w:lineRule="atLeast"/>
              <w:ind w:firstLine="480"/>
              <w:jc w:val="left"/>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月医疗费限额（元）</w:t>
            </w:r>
          </w:p>
        </w:tc>
        <w:tc>
          <w:tcPr>
            <w:tcW w:w="1559" w:type="dxa"/>
            <w:tcBorders>
              <w:top w:val="single" w:sz="4" w:space="0" w:color="000000"/>
              <w:left w:val="nil"/>
              <w:bottom w:val="single" w:sz="4" w:space="0" w:color="000000"/>
              <w:right w:val="single" w:sz="4" w:space="0" w:color="000000"/>
            </w:tcBorders>
            <w:vAlign w:val="center"/>
            <w:hideMark/>
          </w:tcPr>
          <w:p w:rsidR="0069185B" w:rsidRPr="0069185B" w:rsidRDefault="0069185B" w:rsidP="00274E08">
            <w:pPr>
              <w:widowControl/>
              <w:spacing w:line="315" w:lineRule="atLeast"/>
              <w:ind w:firstLine="480"/>
              <w:jc w:val="left"/>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年医疗费限额（元）</w:t>
            </w:r>
          </w:p>
        </w:tc>
        <w:tc>
          <w:tcPr>
            <w:tcW w:w="1795" w:type="dxa"/>
            <w:tcBorders>
              <w:top w:val="single" w:sz="4" w:space="0" w:color="000000"/>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统筹基金支付范围</w:t>
            </w:r>
          </w:p>
        </w:tc>
        <w:tc>
          <w:tcPr>
            <w:tcW w:w="665" w:type="dxa"/>
            <w:tcBorders>
              <w:top w:val="single" w:sz="4" w:space="0" w:color="000000"/>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备注</w:t>
            </w:r>
          </w:p>
        </w:tc>
      </w:tr>
      <w:tr w:rsidR="0069185B" w:rsidRPr="0069185B" w:rsidTr="00274E08">
        <w:trPr>
          <w:trHeight w:val="340"/>
        </w:trPr>
        <w:tc>
          <w:tcPr>
            <w:tcW w:w="467" w:type="dxa"/>
            <w:vMerge w:val="restart"/>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一一</w:t>
            </w:r>
          </w:p>
        </w:tc>
        <w:tc>
          <w:tcPr>
            <w:tcW w:w="2597" w:type="dxa"/>
            <w:tcBorders>
              <w:top w:val="nil"/>
              <w:left w:val="nil"/>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1、</w:t>
            </w:r>
            <w:r w:rsidR="0069185B" w:rsidRPr="0069185B">
              <w:rPr>
                <w:rFonts w:ascii="宋体" w:eastAsia="宋体" w:hAnsi="宋体" w:cs="宋体" w:hint="eastAsia"/>
                <w:kern w:val="0"/>
                <w:sz w:val="24"/>
                <w:szCs w:val="24"/>
                <w:bdr w:val="none" w:sz="0" w:space="0" w:color="auto" w:frame="1"/>
              </w:rPr>
              <w:t>原发性高血压A</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185</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2220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仅限于降压药物治疗</w:t>
            </w:r>
          </w:p>
        </w:tc>
        <w:tc>
          <w:tcPr>
            <w:tcW w:w="665" w:type="dxa"/>
            <w:vMerge w:val="restart"/>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享受特殊慢性病病种的患者辅助检查治疗费用一律自费</w:t>
            </w:r>
          </w:p>
        </w:tc>
      </w:tr>
      <w:tr w:rsidR="0069185B" w:rsidRPr="0069185B" w:rsidTr="00274E08">
        <w:trPr>
          <w:trHeight w:val="3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c>
          <w:tcPr>
            <w:tcW w:w="2597" w:type="dxa"/>
            <w:tcBorders>
              <w:top w:val="nil"/>
              <w:left w:val="nil"/>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2、</w:t>
            </w:r>
            <w:r w:rsidR="0069185B" w:rsidRPr="0069185B">
              <w:rPr>
                <w:rFonts w:ascii="宋体" w:eastAsia="宋体" w:hAnsi="宋体" w:cs="宋体" w:hint="eastAsia"/>
                <w:kern w:val="0"/>
                <w:sz w:val="24"/>
                <w:szCs w:val="24"/>
                <w:bdr w:val="none" w:sz="0" w:space="0" w:color="auto" w:frame="1"/>
              </w:rPr>
              <w:t>原发性高血压B</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260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3120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仅限高血压病及其合并症药物治疗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二二</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冠状动脉硬性心脏病</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315</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3780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只限药物治疗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vMerge w:val="restart"/>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三三</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动脉硬化性脑梗塞后遗症A</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动脉硬化性脑梗塞后遗症B</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3240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仅限药物治疗和理疗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vMerge w:val="restart"/>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四四</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脑栓塞后遗症A</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脑栓塞后遗症B</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3240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仅限药物治疗和理疗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vMerge w:val="restart"/>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五五</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脑出血后遗症A</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脑出血后遗症B</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3240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仅限药物治疗和理疗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六六</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慢性再生障碍性贫血</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325</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3900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仅限药物治疗及输血治疗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七七</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风心病</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325</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3900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只限门诊治疗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vMerge w:val="restart"/>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lastRenderedPageBreak/>
              <w:t>八八</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糖尿病A</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250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3000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仅限于降糖药物治疗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糖尿病B</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360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4320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仅限于降糖及合并症药物治疗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530E11" w:rsidP="0069185B">
            <w:pPr>
              <w:widowControl/>
              <w:spacing w:line="315" w:lineRule="atLeast"/>
              <w:ind w:firstLine="480"/>
              <w:jc w:val="center"/>
              <w:rPr>
                <w:rFonts w:ascii="微软雅黑" w:eastAsia="微软雅黑" w:hAnsi="微软雅黑" w:cs="宋体"/>
                <w:kern w:val="0"/>
                <w:szCs w:val="21"/>
              </w:rPr>
            </w:pPr>
            <w:r>
              <w:rPr>
                <w:rFonts w:ascii="宋体" w:eastAsia="宋体" w:hAnsi="宋体" w:cs="宋体" w:hint="eastAsia"/>
                <w:kern w:val="0"/>
                <w:sz w:val="24"/>
                <w:szCs w:val="24"/>
                <w:bdr w:val="none" w:sz="0" w:space="0" w:color="auto" w:frame="1"/>
              </w:rPr>
              <w:t>九九</w:t>
            </w:r>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肝硬化（失代偿期）</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325</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3900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仅限药物及蛋白制品</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w:t>
            </w:r>
            <w:proofErr w:type="gramStart"/>
            <w:r w:rsidR="00530E11">
              <w:rPr>
                <w:rFonts w:ascii="宋体" w:eastAsia="宋体" w:hAnsi="宋体" w:cs="宋体" w:hint="eastAsia"/>
                <w:kern w:val="0"/>
                <w:sz w:val="24"/>
                <w:szCs w:val="24"/>
                <w:bdr w:val="none" w:sz="0" w:space="0" w:color="auto" w:frame="1"/>
              </w:rPr>
              <w:t>十</w:t>
            </w:r>
            <w:proofErr w:type="gramEnd"/>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慢性阻塞性肺病</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390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4680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仅限于药物、吸氧治疗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w:t>
            </w:r>
            <w:proofErr w:type="gramStart"/>
            <w:r w:rsidR="00530E11">
              <w:rPr>
                <w:rFonts w:ascii="宋体" w:eastAsia="宋体" w:hAnsi="宋体" w:cs="宋体" w:hint="eastAsia"/>
                <w:kern w:val="0"/>
                <w:sz w:val="24"/>
                <w:szCs w:val="24"/>
                <w:bdr w:val="none" w:sz="0" w:space="0" w:color="auto" w:frame="1"/>
              </w:rPr>
              <w:t>十一</w:t>
            </w:r>
            <w:proofErr w:type="gramEnd"/>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精神分裂症</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1560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限于药物治疗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w:t>
            </w:r>
            <w:proofErr w:type="gramStart"/>
            <w:r w:rsidR="00530E11">
              <w:rPr>
                <w:rFonts w:ascii="宋体" w:eastAsia="宋体" w:hAnsi="宋体" w:cs="宋体" w:hint="eastAsia"/>
                <w:kern w:val="0"/>
                <w:sz w:val="24"/>
                <w:szCs w:val="24"/>
                <w:bdr w:val="none" w:sz="0" w:space="0" w:color="auto" w:frame="1"/>
              </w:rPr>
              <w:t>十二</w:t>
            </w:r>
            <w:proofErr w:type="gramEnd"/>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系统性红斑狼疮</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限于药物治疗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w:t>
            </w:r>
            <w:proofErr w:type="gramStart"/>
            <w:r w:rsidR="00530E11">
              <w:rPr>
                <w:rFonts w:ascii="宋体" w:eastAsia="宋体" w:hAnsi="宋体" w:cs="宋体" w:hint="eastAsia"/>
                <w:kern w:val="0"/>
                <w:sz w:val="24"/>
                <w:szCs w:val="24"/>
                <w:bdr w:val="none" w:sz="0" w:space="0" w:color="auto" w:frame="1"/>
              </w:rPr>
              <w:t>十三</w:t>
            </w:r>
            <w:proofErr w:type="gramEnd"/>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帕金森病</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230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2760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限于药物治疗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r w:rsidR="0069185B" w:rsidRPr="0069185B" w:rsidTr="00274E08">
        <w:trPr>
          <w:trHeight w:val="340"/>
        </w:trPr>
        <w:tc>
          <w:tcPr>
            <w:tcW w:w="467" w:type="dxa"/>
            <w:tcBorders>
              <w:top w:val="nil"/>
              <w:left w:val="single" w:sz="4" w:space="0" w:color="000000"/>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1</w:t>
            </w:r>
            <w:proofErr w:type="gramStart"/>
            <w:r w:rsidR="00530E11">
              <w:rPr>
                <w:rFonts w:ascii="宋体" w:eastAsia="宋体" w:hAnsi="宋体" w:cs="宋体" w:hint="eastAsia"/>
                <w:kern w:val="0"/>
                <w:sz w:val="24"/>
                <w:szCs w:val="24"/>
                <w:bdr w:val="none" w:sz="0" w:space="0" w:color="auto" w:frame="1"/>
              </w:rPr>
              <w:t>十四</w:t>
            </w:r>
            <w:proofErr w:type="gramEnd"/>
          </w:p>
        </w:tc>
        <w:tc>
          <w:tcPr>
            <w:tcW w:w="2597"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恶性肿瘤</w:t>
            </w:r>
          </w:p>
        </w:tc>
        <w:tc>
          <w:tcPr>
            <w:tcW w:w="143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280</w:t>
            </w:r>
          </w:p>
        </w:tc>
        <w:tc>
          <w:tcPr>
            <w:tcW w:w="1559"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3360</w:t>
            </w:r>
          </w:p>
        </w:tc>
        <w:tc>
          <w:tcPr>
            <w:tcW w:w="1795" w:type="dxa"/>
            <w:tcBorders>
              <w:top w:val="nil"/>
              <w:left w:val="nil"/>
              <w:bottom w:val="single" w:sz="4" w:space="0" w:color="000000"/>
              <w:right w:val="single" w:sz="4" w:space="0" w:color="000000"/>
            </w:tcBorders>
            <w:vAlign w:val="center"/>
            <w:hideMark/>
          </w:tcPr>
          <w:p w:rsidR="0069185B" w:rsidRPr="0069185B" w:rsidRDefault="0069185B" w:rsidP="0069185B">
            <w:pPr>
              <w:widowControl/>
              <w:spacing w:line="315" w:lineRule="atLeast"/>
              <w:ind w:firstLine="480"/>
              <w:jc w:val="center"/>
              <w:rPr>
                <w:rFonts w:ascii="微软雅黑" w:eastAsia="微软雅黑" w:hAnsi="微软雅黑" w:cs="宋体"/>
                <w:kern w:val="0"/>
                <w:szCs w:val="21"/>
              </w:rPr>
            </w:pPr>
            <w:r w:rsidRPr="0069185B">
              <w:rPr>
                <w:rFonts w:ascii="宋体" w:eastAsia="宋体" w:hAnsi="宋体" w:cs="宋体" w:hint="eastAsia"/>
                <w:kern w:val="0"/>
                <w:sz w:val="24"/>
                <w:szCs w:val="24"/>
                <w:bdr w:val="none" w:sz="0" w:space="0" w:color="auto" w:frame="1"/>
              </w:rPr>
              <w:t>限于放、化疗以外的治疗</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69185B" w:rsidRPr="0069185B" w:rsidRDefault="0069185B" w:rsidP="0069185B">
            <w:pPr>
              <w:widowControl/>
              <w:jc w:val="left"/>
              <w:rPr>
                <w:rFonts w:ascii="微软雅黑" w:eastAsia="微软雅黑" w:hAnsi="微软雅黑" w:cs="宋体"/>
                <w:kern w:val="0"/>
                <w:szCs w:val="21"/>
              </w:rPr>
            </w:pPr>
          </w:p>
        </w:tc>
      </w:tr>
    </w:tbl>
    <w:p w:rsidR="0069185B" w:rsidRPr="0069185B" w:rsidRDefault="0069185B" w:rsidP="0069185B">
      <w:pPr>
        <w:widowControl/>
        <w:spacing w:line="315" w:lineRule="atLeast"/>
        <w:ind w:firstLine="480"/>
        <w:jc w:val="left"/>
        <w:rPr>
          <w:rFonts w:ascii="微软雅黑" w:eastAsia="微软雅黑" w:hAnsi="微软雅黑" w:cs="宋体"/>
          <w:color w:val="333333"/>
          <w:kern w:val="0"/>
          <w:szCs w:val="21"/>
        </w:rPr>
      </w:pPr>
      <w:r w:rsidRPr="0069185B">
        <w:rPr>
          <w:rFonts w:ascii="宋体" w:eastAsia="宋体" w:hAnsi="宋体" w:cs="宋体" w:hint="eastAsia"/>
          <w:color w:val="000000"/>
          <w:kern w:val="0"/>
          <w:sz w:val="24"/>
          <w:szCs w:val="24"/>
          <w:bdr w:val="none" w:sz="0" w:space="0" w:color="auto" w:frame="1"/>
        </w:rPr>
        <w:t>2、 患多种特殊慢性病患者的月医疗费限额，在其病种最高月限额标准的基础上每月增</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加40元。</w:t>
      </w:r>
      <w:r w:rsidRPr="0069185B">
        <w:rPr>
          <w:rFonts w:ascii="微软雅黑" w:eastAsia="微软雅黑" w:hAnsi="微软雅黑" w:cs="宋体" w:hint="eastAsia"/>
          <w:color w:val="000000"/>
          <w:kern w:val="0"/>
          <w:szCs w:val="21"/>
          <w:bdr w:val="none" w:sz="0" w:space="0" w:color="auto" w:frame="1"/>
        </w:rPr>
        <w:br/>
      </w:r>
      <w:r w:rsidRPr="0069185B">
        <w:rPr>
          <w:rFonts w:ascii="宋体" w:eastAsia="宋体" w:hAnsi="宋体" w:cs="宋体" w:hint="eastAsia"/>
          <w:color w:val="000000"/>
          <w:kern w:val="0"/>
          <w:sz w:val="24"/>
          <w:szCs w:val="24"/>
          <w:bdr w:val="none" w:sz="0" w:space="0" w:color="auto" w:frame="1"/>
        </w:rPr>
        <w:t>    3、按A、B分类的特殊慢性病病种，在《门诊特殊慢性病专用病历》复审之前暂按A</w:t>
      </w:r>
      <w:proofErr w:type="gramStart"/>
      <w:r w:rsidRPr="0069185B">
        <w:rPr>
          <w:rFonts w:ascii="宋体" w:eastAsia="宋体" w:hAnsi="宋体" w:cs="宋体" w:hint="eastAsia"/>
          <w:color w:val="000000"/>
          <w:kern w:val="0"/>
          <w:sz w:val="24"/>
          <w:szCs w:val="24"/>
          <w:bdr w:val="none" w:sz="0" w:space="0" w:color="auto" w:frame="1"/>
        </w:rPr>
        <w:t>类月限额</w:t>
      </w:r>
      <w:proofErr w:type="gramEnd"/>
      <w:r w:rsidRPr="0069185B">
        <w:rPr>
          <w:rFonts w:ascii="宋体" w:eastAsia="宋体" w:hAnsi="宋体" w:cs="宋体" w:hint="eastAsia"/>
          <w:color w:val="000000"/>
          <w:kern w:val="0"/>
          <w:sz w:val="24"/>
          <w:szCs w:val="24"/>
          <w:bdr w:val="none" w:sz="0" w:space="0" w:color="auto" w:frame="1"/>
        </w:rPr>
        <w:t>标准执行，复审后达到B类诊断标准的，按B</w:t>
      </w:r>
      <w:proofErr w:type="gramStart"/>
      <w:r w:rsidRPr="0069185B">
        <w:rPr>
          <w:rFonts w:ascii="宋体" w:eastAsia="宋体" w:hAnsi="宋体" w:cs="宋体" w:hint="eastAsia"/>
          <w:color w:val="000000"/>
          <w:kern w:val="0"/>
          <w:sz w:val="24"/>
          <w:szCs w:val="24"/>
          <w:bdr w:val="none" w:sz="0" w:space="0" w:color="auto" w:frame="1"/>
        </w:rPr>
        <w:t>类月医疗费</w:t>
      </w:r>
      <w:proofErr w:type="gramEnd"/>
      <w:r w:rsidRPr="0069185B">
        <w:rPr>
          <w:rFonts w:ascii="宋体" w:eastAsia="宋体" w:hAnsi="宋体" w:cs="宋体" w:hint="eastAsia"/>
          <w:color w:val="000000"/>
          <w:kern w:val="0"/>
          <w:sz w:val="24"/>
          <w:szCs w:val="24"/>
          <w:bdr w:val="none" w:sz="0" w:space="0" w:color="auto" w:frame="1"/>
        </w:rPr>
        <w:t>限额标准执行。</w:t>
      </w:r>
    </w:p>
    <w:p w:rsidR="000030AA" w:rsidRPr="0069185B" w:rsidRDefault="000030AA"/>
    <w:sectPr w:rsidR="000030AA" w:rsidRPr="006918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A3" w:rsidRDefault="00DD5AA3" w:rsidP="00530E11">
      <w:r>
        <w:separator/>
      </w:r>
    </w:p>
  </w:endnote>
  <w:endnote w:type="continuationSeparator" w:id="0">
    <w:p w:rsidR="00DD5AA3" w:rsidRDefault="00DD5AA3" w:rsidP="0053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A3" w:rsidRDefault="00DD5AA3" w:rsidP="00530E11">
      <w:r>
        <w:separator/>
      </w:r>
    </w:p>
  </w:footnote>
  <w:footnote w:type="continuationSeparator" w:id="0">
    <w:p w:rsidR="00DD5AA3" w:rsidRDefault="00DD5AA3" w:rsidP="00530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2"/>
    <w:rsid w:val="000030AA"/>
    <w:rsid w:val="00274E08"/>
    <w:rsid w:val="00530E11"/>
    <w:rsid w:val="005638AC"/>
    <w:rsid w:val="0069185B"/>
    <w:rsid w:val="00704CE2"/>
    <w:rsid w:val="0087403A"/>
    <w:rsid w:val="00BC7479"/>
    <w:rsid w:val="00DD5AA3"/>
    <w:rsid w:val="00E5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18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185B"/>
    <w:rPr>
      <w:rFonts w:ascii="宋体" w:eastAsia="宋体" w:hAnsi="宋体" w:cs="宋体"/>
      <w:b/>
      <w:bCs/>
      <w:kern w:val="36"/>
      <w:sz w:val="48"/>
      <w:szCs w:val="48"/>
    </w:rPr>
  </w:style>
  <w:style w:type="paragraph" w:customStyle="1" w:styleId="p0">
    <w:name w:val="p0"/>
    <w:basedOn w:val="a"/>
    <w:rsid w:val="0069185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53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E11"/>
    <w:rPr>
      <w:sz w:val="18"/>
      <w:szCs w:val="18"/>
    </w:rPr>
  </w:style>
  <w:style w:type="paragraph" w:styleId="a4">
    <w:name w:val="footer"/>
    <w:basedOn w:val="a"/>
    <w:link w:val="Char0"/>
    <w:uiPriority w:val="99"/>
    <w:unhideWhenUsed/>
    <w:rsid w:val="00530E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0E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18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185B"/>
    <w:rPr>
      <w:rFonts w:ascii="宋体" w:eastAsia="宋体" w:hAnsi="宋体" w:cs="宋体"/>
      <w:b/>
      <w:bCs/>
      <w:kern w:val="36"/>
      <w:sz w:val="48"/>
      <w:szCs w:val="48"/>
    </w:rPr>
  </w:style>
  <w:style w:type="paragraph" w:customStyle="1" w:styleId="p0">
    <w:name w:val="p0"/>
    <w:basedOn w:val="a"/>
    <w:rsid w:val="0069185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53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E11"/>
    <w:rPr>
      <w:sz w:val="18"/>
      <w:szCs w:val="18"/>
    </w:rPr>
  </w:style>
  <w:style w:type="paragraph" w:styleId="a4">
    <w:name w:val="footer"/>
    <w:basedOn w:val="a"/>
    <w:link w:val="Char0"/>
    <w:uiPriority w:val="99"/>
    <w:unhideWhenUsed/>
    <w:rsid w:val="00530E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0E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619">
      <w:bodyDiv w:val="1"/>
      <w:marLeft w:val="0"/>
      <w:marRight w:val="0"/>
      <w:marTop w:val="0"/>
      <w:marBottom w:val="0"/>
      <w:divBdr>
        <w:top w:val="none" w:sz="0" w:space="0" w:color="auto"/>
        <w:left w:val="none" w:sz="0" w:space="0" w:color="auto"/>
        <w:bottom w:val="none" w:sz="0" w:space="0" w:color="auto"/>
        <w:right w:val="none" w:sz="0" w:space="0" w:color="auto"/>
      </w:divBdr>
    </w:div>
    <w:div w:id="11113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王元</dc:creator>
  <cp:lastModifiedBy>王元</cp:lastModifiedBy>
  <cp:revision>2</cp:revision>
  <dcterms:created xsi:type="dcterms:W3CDTF">2021-03-25T09:40:00Z</dcterms:created>
  <dcterms:modified xsi:type="dcterms:W3CDTF">2021-03-25T09:40:00Z</dcterms:modified>
</cp:coreProperties>
</file>